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95B3A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AF7C14">
              <w:rPr>
                <w:sz w:val="26"/>
                <w:szCs w:val="26"/>
              </w:rPr>
              <w:t>1</w:t>
            </w:r>
            <w:r w:rsidR="00E95B3A">
              <w:rPr>
                <w:sz w:val="26"/>
                <w:szCs w:val="26"/>
              </w:rPr>
              <w:t>2</w:t>
            </w:r>
          </w:p>
        </w:tc>
      </w:tr>
      <w:tr w:rsidR="00E65110" w:rsidRPr="00121841" w:rsidTr="00441C96">
        <w:trPr>
          <w:trHeight w:val="11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1C96">
        <w:trPr>
          <w:trHeight w:val="263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12B9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3E3830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CC531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3E3830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05517C" w:rsidRDefault="0005517C" w:rsidP="003460BF">
      <w:pPr>
        <w:jc w:val="center"/>
        <w:rPr>
          <w:b/>
          <w:bCs/>
          <w:sz w:val="26"/>
          <w:szCs w:val="26"/>
        </w:rPr>
      </w:pPr>
    </w:p>
    <w:p w:rsidR="00AF7C14" w:rsidRDefault="00BF7D00" w:rsidP="003460B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Методика расчета размера субсиди</w:t>
      </w:r>
      <w:r w:rsidR="00E95B3A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местным бюджетам, выделяем</w:t>
      </w:r>
      <w:r w:rsidR="00E95B3A">
        <w:rPr>
          <w:b/>
          <w:sz w:val="26"/>
          <w:szCs w:val="26"/>
        </w:rPr>
        <w:t>ой</w:t>
      </w:r>
      <w:r>
        <w:rPr>
          <w:b/>
          <w:sz w:val="26"/>
          <w:szCs w:val="26"/>
        </w:rPr>
        <w:t xml:space="preserve"> </w:t>
      </w:r>
      <w:r w:rsidR="00E95B3A">
        <w:rPr>
          <w:b/>
          <w:sz w:val="26"/>
          <w:szCs w:val="26"/>
        </w:rPr>
        <w:br/>
      </w:r>
      <w:r>
        <w:rPr>
          <w:b/>
          <w:sz w:val="26"/>
          <w:szCs w:val="26"/>
        </w:rPr>
        <w:t>из областного бюджета на 201</w:t>
      </w:r>
      <w:r w:rsidR="00DC7F07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год </w:t>
      </w:r>
    </w:p>
    <w:p w:rsidR="00DC7F07" w:rsidRDefault="00DC7F07" w:rsidP="003460BF">
      <w:pPr>
        <w:jc w:val="center"/>
        <w:rPr>
          <w:b/>
          <w:bCs/>
          <w:sz w:val="26"/>
          <w:szCs w:val="26"/>
        </w:rPr>
      </w:pPr>
    </w:p>
    <w:p w:rsidR="00023099" w:rsidRPr="00DC70B1" w:rsidRDefault="00023099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C70B1">
        <w:rPr>
          <w:sz w:val="26"/>
          <w:szCs w:val="26"/>
        </w:rPr>
        <w:t>Размер субсиди</w:t>
      </w:r>
      <w:r w:rsidR="00872DB6">
        <w:rPr>
          <w:sz w:val="26"/>
          <w:szCs w:val="26"/>
        </w:rPr>
        <w:t>и</w:t>
      </w:r>
      <w:r w:rsidRPr="00DC70B1">
        <w:rPr>
          <w:sz w:val="26"/>
          <w:szCs w:val="26"/>
        </w:rPr>
        <w:t xml:space="preserve"> местным бюджетам на организацию работы органов управл</w:t>
      </w:r>
      <w:r w:rsidRPr="00DC70B1">
        <w:rPr>
          <w:sz w:val="26"/>
          <w:szCs w:val="26"/>
        </w:rPr>
        <w:t>е</w:t>
      </w:r>
      <w:r w:rsidRPr="00DC70B1">
        <w:rPr>
          <w:sz w:val="26"/>
          <w:szCs w:val="26"/>
        </w:rPr>
        <w:t>ния социальной защиты населения муниципальных образований (</w:t>
      </w:r>
      <w:proofErr w:type="spellStart"/>
      <w:r w:rsidRPr="00DC70B1">
        <w:rPr>
          <w:sz w:val="26"/>
          <w:szCs w:val="26"/>
        </w:rPr>
        <w:t>S</w:t>
      </w:r>
      <w:r w:rsidRPr="00E95B3A">
        <w:rPr>
          <w:sz w:val="26"/>
          <w:szCs w:val="26"/>
          <w:vertAlign w:val="subscript"/>
        </w:rPr>
        <w:t>i</w:t>
      </w:r>
      <w:proofErr w:type="spellEnd"/>
      <w:r w:rsidRPr="00DC70B1">
        <w:rPr>
          <w:sz w:val="26"/>
          <w:szCs w:val="26"/>
        </w:rPr>
        <w:t>) рассчитывается для городских округов, для городских округов с внутригородским делением и мун</w:t>
      </w:r>
      <w:r w:rsidRPr="00DC70B1">
        <w:rPr>
          <w:sz w:val="26"/>
          <w:szCs w:val="26"/>
        </w:rPr>
        <w:t>и</w:t>
      </w:r>
      <w:r w:rsidRPr="00DC70B1">
        <w:rPr>
          <w:sz w:val="26"/>
          <w:szCs w:val="26"/>
        </w:rPr>
        <w:t>ципальных районов по следующей формуле:</w:t>
      </w:r>
    </w:p>
    <w:p w:rsidR="00023099" w:rsidRPr="00872DB6" w:rsidRDefault="00872DB6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DC70B1">
        <w:rPr>
          <w:sz w:val="26"/>
          <w:szCs w:val="26"/>
        </w:rPr>
        <w:t>S</w:t>
      </w:r>
      <w:r w:rsidRPr="00E95B3A">
        <w:rPr>
          <w:sz w:val="26"/>
          <w:szCs w:val="26"/>
          <w:vertAlign w:val="subscript"/>
        </w:rPr>
        <w:t>i</w:t>
      </w:r>
      <w:proofErr w:type="spellEnd"/>
      <w:r w:rsidRPr="00872DB6">
        <w:rPr>
          <w:sz w:val="26"/>
          <w:szCs w:val="26"/>
          <w:vertAlign w:val="subscript"/>
        </w:rPr>
        <w:t xml:space="preserve"> </w:t>
      </w:r>
      <w:r w:rsidRPr="00872DB6">
        <w:rPr>
          <w:sz w:val="26"/>
          <w:szCs w:val="26"/>
        </w:rPr>
        <w:t xml:space="preserve">= </w:t>
      </w:r>
      <w:r>
        <w:rPr>
          <w:sz w:val="26"/>
          <w:szCs w:val="26"/>
          <w:lang w:val="en-US"/>
        </w:rPr>
        <w:t>P</w:t>
      </w:r>
      <w:r>
        <w:rPr>
          <w:sz w:val="26"/>
          <w:szCs w:val="26"/>
          <w:vertAlign w:val="subscript"/>
        </w:rPr>
        <w:t>ФОТ</w:t>
      </w:r>
      <w:r>
        <w:rPr>
          <w:sz w:val="26"/>
          <w:szCs w:val="26"/>
          <w:vertAlign w:val="subscript"/>
          <w:lang w:val="en-US"/>
        </w:rPr>
        <w:t>i</w:t>
      </w:r>
      <w:r w:rsidRPr="00872DB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</w:t>
      </w:r>
      <w:r w:rsidRPr="00872DB6">
        <w:rPr>
          <w:sz w:val="26"/>
          <w:szCs w:val="26"/>
        </w:rPr>
        <w:t xml:space="preserve"> </w:t>
      </w:r>
      <w:r w:rsidRPr="00E95B3A">
        <w:rPr>
          <w:sz w:val="26"/>
          <w:szCs w:val="26"/>
        </w:rPr>
        <w:t>К</w:t>
      </w:r>
      <w:r w:rsidRPr="00E95B3A">
        <w:rPr>
          <w:sz w:val="26"/>
          <w:szCs w:val="26"/>
          <w:vertAlign w:val="subscript"/>
        </w:rPr>
        <w:t>1</w:t>
      </w:r>
      <w:r w:rsidRPr="00872DB6">
        <w:rPr>
          <w:sz w:val="26"/>
          <w:szCs w:val="26"/>
        </w:rPr>
        <w:t xml:space="preserve"> + </w:t>
      </w:r>
      <w:r w:rsidRPr="00E95B3A">
        <w:rPr>
          <w:sz w:val="26"/>
          <w:szCs w:val="26"/>
        </w:rPr>
        <w:t>Р</w:t>
      </w:r>
      <w:r w:rsidRPr="00E95B3A">
        <w:rPr>
          <w:sz w:val="26"/>
          <w:szCs w:val="26"/>
          <w:vertAlign w:val="subscript"/>
        </w:rPr>
        <w:t>М</w:t>
      </w:r>
      <w:r>
        <w:rPr>
          <w:sz w:val="26"/>
          <w:szCs w:val="26"/>
          <w:vertAlign w:val="subscript"/>
          <w:lang w:val="en-US"/>
        </w:rPr>
        <w:t>O</w:t>
      </w:r>
      <w:r w:rsidRPr="00E95B3A">
        <w:rPr>
          <w:sz w:val="26"/>
          <w:szCs w:val="26"/>
          <w:vertAlign w:val="subscript"/>
          <w:lang w:val="en-US"/>
        </w:rPr>
        <w:t>i</w:t>
      </w:r>
      <w:r w:rsidRPr="00872DB6"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  <w:lang w:val="en-US"/>
        </w:rPr>
        <w:t>x</w:t>
      </w:r>
      <w:r w:rsidRPr="00872DB6">
        <w:rPr>
          <w:sz w:val="26"/>
          <w:szCs w:val="26"/>
        </w:rPr>
        <w:t xml:space="preserve"> </w:t>
      </w:r>
      <w:r w:rsidRPr="00E95B3A">
        <w:rPr>
          <w:sz w:val="26"/>
          <w:szCs w:val="26"/>
        </w:rPr>
        <w:t>К</w:t>
      </w:r>
      <w:r w:rsidRPr="00E95B3A">
        <w:rPr>
          <w:sz w:val="26"/>
          <w:szCs w:val="26"/>
          <w:vertAlign w:val="subscript"/>
        </w:rPr>
        <w:t>2</w:t>
      </w:r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, где:</w:t>
      </w:r>
    </w:p>
    <w:p w:rsidR="00023099" w:rsidRPr="00DC70B1" w:rsidRDefault="00E95B3A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P</w:t>
      </w:r>
      <w:r>
        <w:rPr>
          <w:sz w:val="26"/>
          <w:szCs w:val="26"/>
          <w:vertAlign w:val="subscript"/>
        </w:rPr>
        <w:t>ФОТ</w:t>
      </w:r>
      <w:r>
        <w:rPr>
          <w:sz w:val="26"/>
          <w:szCs w:val="26"/>
          <w:vertAlign w:val="subscript"/>
          <w:lang w:val="en-US"/>
        </w:rPr>
        <w:t>i</w:t>
      </w:r>
      <w:r w:rsidR="00460CC7" w:rsidRPr="00460CC7">
        <w:rPr>
          <w:sz w:val="26"/>
          <w:szCs w:val="26"/>
        </w:rPr>
        <w:t xml:space="preserve"> </w:t>
      </w:r>
      <w:r w:rsidR="00023099" w:rsidRPr="00DC70B1">
        <w:rPr>
          <w:sz w:val="26"/>
          <w:szCs w:val="26"/>
        </w:rPr>
        <w:t xml:space="preserve">– средства областного бюджета, предусмотренные на </w:t>
      </w:r>
      <w:proofErr w:type="spellStart"/>
      <w:r w:rsidR="00023099" w:rsidRPr="00DC70B1">
        <w:rPr>
          <w:sz w:val="26"/>
          <w:szCs w:val="26"/>
        </w:rPr>
        <w:t>софинансирование</w:t>
      </w:r>
      <w:proofErr w:type="spellEnd"/>
      <w:r w:rsidR="00023099" w:rsidRPr="00DC70B1">
        <w:rPr>
          <w:sz w:val="26"/>
          <w:szCs w:val="26"/>
        </w:rPr>
        <w:t xml:space="preserve"> расходов по оплате труда муниципальных служащих, обслуживающего персонала и работников, исполняющих обязанности по техническому обеспечению деятельности органа управления социальной защиты населения i-го муниципального образования (включая начисления на оплату труда), в текущем финансовом году;</w:t>
      </w:r>
    </w:p>
    <w:p w:rsidR="00023099" w:rsidRPr="00DC70B1" w:rsidRDefault="00E95B3A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95B3A">
        <w:rPr>
          <w:sz w:val="26"/>
          <w:szCs w:val="26"/>
        </w:rPr>
        <w:t>К</w:t>
      </w:r>
      <w:r w:rsidRPr="00E95B3A">
        <w:rPr>
          <w:sz w:val="26"/>
          <w:szCs w:val="26"/>
          <w:vertAlign w:val="subscript"/>
        </w:rPr>
        <w:t>1</w:t>
      </w:r>
      <w:r w:rsidRPr="00E95B3A">
        <w:rPr>
          <w:sz w:val="26"/>
          <w:szCs w:val="26"/>
        </w:rPr>
        <w:t xml:space="preserve"> </w:t>
      </w:r>
      <w:r w:rsidR="00023099" w:rsidRPr="00DC70B1">
        <w:rPr>
          <w:sz w:val="26"/>
          <w:szCs w:val="26"/>
        </w:rPr>
        <w:t xml:space="preserve">– коэффициент изменения средств, выделяемых из областного бюджета на </w:t>
      </w:r>
      <w:proofErr w:type="spellStart"/>
      <w:r w:rsidR="00023099" w:rsidRPr="00DC70B1">
        <w:rPr>
          <w:sz w:val="26"/>
          <w:szCs w:val="26"/>
        </w:rPr>
        <w:t>софинансирование</w:t>
      </w:r>
      <w:proofErr w:type="spellEnd"/>
      <w:r w:rsidR="00023099" w:rsidRPr="00DC70B1">
        <w:rPr>
          <w:sz w:val="26"/>
          <w:szCs w:val="26"/>
        </w:rPr>
        <w:t xml:space="preserve"> расходов по оплате труда муниципальных служащих, обслуж</w:t>
      </w:r>
      <w:r w:rsidR="00023099" w:rsidRPr="00DC70B1">
        <w:rPr>
          <w:sz w:val="26"/>
          <w:szCs w:val="26"/>
        </w:rPr>
        <w:t>и</w:t>
      </w:r>
      <w:r w:rsidR="00023099" w:rsidRPr="00DC70B1">
        <w:rPr>
          <w:sz w:val="26"/>
          <w:szCs w:val="26"/>
        </w:rPr>
        <w:t>вающего персонала и работников, исполняющих обязанности по техническому обе</w:t>
      </w:r>
      <w:r w:rsidR="00023099" w:rsidRPr="00DC70B1">
        <w:rPr>
          <w:sz w:val="26"/>
          <w:szCs w:val="26"/>
        </w:rPr>
        <w:t>с</w:t>
      </w:r>
      <w:r w:rsidR="00023099" w:rsidRPr="00DC70B1">
        <w:rPr>
          <w:sz w:val="26"/>
          <w:szCs w:val="26"/>
        </w:rPr>
        <w:t>печению деятельности органов управления социальной защиты населения муниц</w:t>
      </w:r>
      <w:r w:rsidR="00023099" w:rsidRPr="00DC70B1">
        <w:rPr>
          <w:sz w:val="26"/>
          <w:szCs w:val="26"/>
        </w:rPr>
        <w:t>и</w:t>
      </w:r>
      <w:r w:rsidR="00023099" w:rsidRPr="00DC70B1">
        <w:rPr>
          <w:sz w:val="26"/>
          <w:szCs w:val="26"/>
        </w:rPr>
        <w:t>пальных образований. Для расчета размера субсидии на 2016 год значение указанного коэффициента принимается равным 1;</w:t>
      </w:r>
    </w:p>
    <w:p w:rsidR="00E95B3A" w:rsidRPr="00E95B3A" w:rsidRDefault="00E95B3A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95B3A">
        <w:rPr>
          <w:sz w:val="26"/>
          <w:szCs w:val="26"/>
        </w:rPr>
        <w:t>Р</w:t>
      </w:r>
      <w:r w:rsidRPr="00E95B3A">
        <w:rPr>
          <w:sz w:val="26"/>
          <w:szCs w:val="26"/>
          <w:vertAlign w:val="subscript"/>
        </w:rPr>
        <w:t>МО</w:t>
      </w:r>
      <w:r w:rsidRPr="00E95B3A">
        <w:rPr>
          <w:sz w:val="26"/>
          <w:szCs w:val="26"/>
          <w:vertAlign w:val="subscript"/>
          <w:lang w:val="en-US"/>
        </w:rPr>
        <w:t>i</w:t>
      </w:r>
      <w:r w:rsidRPr="00E95B3A">
        <w:rPr>
          <w:sz w:val="26"/>
          <w:szCs w:val="26"/>
        </w:rPr>
        <w:t xml:space="preserve"> – средства областного бюджета, предусмотренные на </w:t>
      </w:r>
      <w:proofErr w:type="spellStart"/>
      <w:r w:rsidRPr="00E95B3A">
        <w:rPr>
          <w:sz w:val="26"/>
          <w:szCs w:val="26"/>
        </w:rPr>
        <w:t>софинансирование</w:t>
      </w:r>
      <w:proofErr w:type="spellEnd"/>
      <w:r w:rsidRPr="00E95B3A">
        <w:rPr>
          <w:sz w:val="26"/>
          <w:szCs w:val="26"/>
        </w:rPr>
        <w:t xml:space="preserve"> расходов на материальное обеспечение органа управления социальной защиты </w:t>
      </w:r>
      <w:r w:rsidR="00F6074F">
        <w:rPr>
          <w:sz w:val="26"/>
          <w:szCs w:val="26"/>
        </w:rPr>
        <w:t>нас</w:t>
      </w:r>
      <w:r w:rsidR="00F6074F">
        <w:rPr>
          <w:sz w:val="26"/>
          <w:szCs w:val="26"/>
        </w:rPr>
        <w:t>е</w:t>
      </w:r>
      <w:r w:rsidR="00F6074F">
        <w:rPr>
          <w:sz w:val="26"/>
          <w:szCs w:val="26"/>
        </w:rPr>
        <w:t xml:space="preserve">ления </w:t>
      </w:r>
      <w:r w:rsidRPr="00E95B3A">
        <w:rPr>
          <w:sz w:val="26"/>
          <w:szCs w:val="26"/>
        </w:rPr>
        <w:t>i-го муниципального образования (услуги связи, коммунальные услуги и иные расходы) в текущем финансовом году;</w:t>
      </w:r>
    </w:p>
    <w:p w:rsidR="00023099" w:rsidRPr="00E95B3A" w:rsidRDefault="00E95B3A" w:rsidP="00E95B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95B3A">
        <w:rPr>
          <w:sz w:val="26"/>
          <w:szCs w:val="26"/>
        </w:rPr>
        <w:t>К</w:t>
      </w:r>
      <w:r w:rsidRPr="00E95B3A">
        <w:rPr>
          <w:sz w:val="26"/>
          <w:szCs w:val="26"/>
          <w:vertAlign w:val="subscript"/>
        </w:rPr>
        <w:t>2</w:t>
      </w:r>
      <w:r w:rsidRPr="00E95B3A">
        <w:rPr>
          <w:sz w:val="26"/>
          <w:szCs w:val="26"/>
        </w:rPr>
        <w:t xml:space="preserve"> – коэффициент изменения средств, выделяемых из областного бюджета на </w:t>
      </w:r>
      <w:proofErr w:type="spellStart"/>
      <w:r w:rsidRPr="00E95B3A">
        <w:rPr>
          <w:sz w:val="26"/>
          <w:szCs w:val="26"/>
        </w:rPr>
        <w:t>софинансирование</w:t>
      </w:r>
      <w:proofErr w:type="spellEnd"/>
      <w:r w:rsidRPr="00E95B3A">
        <w:rPr>
          <w:sz w:val="26"/>
          <w:szCs w:val="26"/>
        </w:rPr>
        <w:t xml:space="preserve"> расходов на материальное обеспечение органов управления соц</w:t>
      </w:r>
      <w:r w:rsidRPr="00E95B3A">
        <w:rPr>
          <w:sz w:val="26"/>
          <w:szCs w:val="26"/>
        </w:rPr>
        <w:t>и</w:t>
      </w:r>
      <w:r w:rsidRPr="00E95B3A">
        <w:rPr>
          <w:sz w:val="26"/>
          <w:szCs w:val="26"/>
        </w:rPr>
        <w:t xml:space="preserve">альной защиты </w:t>
      </w:r>
      <w:r w:rsidR="00F6074F">
        <w:rPr>
          <w:sz w:val="26"/>
          <w:szCs w:val="26"/>
        </w:rPr>
        <w:t xml:space="preserve">населения </w:t>
      </w:r>
      <w:r w:rsidRPr="00E95B3A">
        <w:rPr>
          <w:sz w:val="26"/>
          <w:szCs w:val="26"/>
        </w:rPr>
        <w:t>муниципальных образований. Для расчета размера субс</w:t>
      </w:r>
      <w:r w:rsidRPr="00E95B3A">
        <w:rPr>
          <w:sz w:val="26"/>
          <w:szCs w:val="26"/>
        </w:rPr>
        <w:t>и</w:t>
      </w:r>
      <w:r w:rsidRPr="00E95B3A">
        <w:rPr>
          <w:sz w:val="26"/>
          <w:szCs w:val="26"/>
        </w:rPr>
        <w:t>дии на 2016 год значение указанного коэффициента принимается равным 1.</w:t>
      </w:r>
    </w:p>
    <w:sectPr w:rsidR="00023099" w:rsidRPr="00E95B3A" w:rsidSect="00652E74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4C6" w:rsidRDefault="003A64C6">
      <w:r>
        <w:separator/>
      </w:r>
    </w:p>
  </w:endnote>
  <w:endnote w:type="continuationSeparator" w:id="0">
    <w:p w:rsidR="003A64C6" w:rsidRDefault="003A6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DC3E6F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0512"/>
      <w:docPartObj>
        <w:docPartGallery w:val="Page Numbers (Bottom of Page)"/>
        <w:docPartUnique/>
      </w:docPartObj>
    </w:sdtPr>
    <w:sdtContent>
      <w:p w:rsidR="005B140B" w:rsidRDefault="00DC3E6F">
        <w:pPr>
          <w:pStyle w:val="a3"/>
          <w:jc w:val="right"/>
        </w:pPr>
        <w:fldSimple w:instr=" PAGE   \* MERGEFORMAT ">
          <w:r w:rsidR="005E3AC0">
            <w:rPr>
              <w:noProof/>
            </w:rPr>
            <w:t>28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3"/>
      <w:docPartObj>
        <w:docPartGallery w:val="Page Numbers (Bottom of Page)"/>
        <w:docPartUnique/>
      </w:docPartObj>
    </w:sdtPr>
    <w:sdtContent>
      <w:p w:rsidR="00181C4D" w:rsidRDefault="00DC3E6F">
        <w:pPr>
          <w:pStyle w:val="a3"/>
          <w:jc w:val="right"/>
        </w:pPr>
        <w:fldSimple w:instr=" PAGE   \* MERGEFORMAT ">
          <w:r w:rsidR="00460CC7">
            <w:rPr>
              <w:noProof/>
            </w:rPr>
            <w:t>410</w:t>
          </w:r>
        </w:fldSimple>
      </w:p>
    </w:sdtContent>
  </w:sdt>
  <w:p w:rsidR="005B140B" w:rsidRDefault="005B140B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4C6" w:rsidRDefault="003A64C6">
      <w:r>
        <w:separator/>
      </w:r>
    </w:p>
  </w:footnote>
  <w:footnote w:type="continuationSeparator" w:id="0">
    <w:p w:rsidR="003A64C6" w:rsidRDefault="003A64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3099"/>
    <w:rsid w:val="0002440C"/>
    <w:rsid w:val="0002745E"/>
    <w:rsid w:val="000309A4"/>
    <w:rsid w:val="0004460F"/>
    <w:rsid w:val="00045FA0"/>
    <w:rsid w:val="00052901"/>
    <w:rsid w:val="0005517C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3434"/>
    <w:rsid w:val="001173C8"/>
    <w:rsid w:val="00134CB4"/>
    <w:rsid w:val="00156AAE"/>
    <w:rsid w:val="0017451C"/>
    <w:rsid w:val="00180B7E"/>
    <w:rsid w:val="00181C4D"/>
    <w:rsid w:val="001821BD"/>
    <w:rsid w:val="001950D9"/>
    <w:rsid w:val="001A2E42"/>
    <w:rsid w:val="001B7823"/>
    <w:rsid w:val="001C5647"/>
    <w:rsid w:val="001D37EC"/>
    <w:rsid w:val="001D4FF5"/>
    <w:rsid w:val="00203B6F"/>
    <w:rsid w:val="00227A80"/>
    <w:rsid w:val="00230EC6"/>
    <w:rsid w:val="0024587A"/>
    <w:rsid w:val="002461E9"/>
    <w:rsid w:val="00254B4E"/>
    <w:rsid w:val="002727FF"/>
    <w:rsid w:val="0027336E"/>
    <w:rsid w:val="0027341E"/>
    <w:rsid w:val="00291393"/>
    <w:rsid w:val="002E1019"/>
    <w:rsid w:val="002E2D18"/>
    <w:rsid w:val="002E7C44"/>
    <w:rsid w:val="002F0D2C"/>
    <w:rsid w:val="002F3ACB"/>
    <w:rsid w:val="002F6D32"/>
    <w:rsid w:val="002F7B21"/>
    <w:rsid w:val="00306DCD"/>
    <w:rsid w:val="00307CA4"/>
    <w:rsid w:val="00312A8E"/>
    <w:rsid w:val="00312B95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A64C6"/>
    <w:rsid w:val="003B225B"/>
    <w:rsid w:val="003D0453"/>
    <w:rsid w:val="003D33AA"/>
    <w:rsid w:val="003E2BAB"/>
    <w:rsid w:val="003E3830"/>
    <w:rsid w:val="00406583"/>
    <w:rsid w:val="00412F11"/>
    <w:rsid w:val="004347D5"/>
    <w:rsid w:val="00441C96"/>
    <w:rsid w:val="00447552"/>
    <w:rsid w:val="00451489"/>
    <w:rsid w:val="00451E22"/>
    <w:rsid w:val="00457668"/>
    <w:rsid w:val="00460CC7"/>
    <w:rsid w:val="00463127"/>
    <w:rsid w:val="0047048D"/>
    <w:rsid w:val="00485B3F"/>
    <w:rsid w:val="004A46EB"/>
    <w:rsid w:val="004A4AAD"/>
    <w:rsid w:val="004B21FF"/>
    <w:rsid w:val="004C5F07"/>
    <w:rsid w:val="004D247C"/>
    <w:rsid w:val="004E05F7"/>
    <w:rsid w:val="004E40A6"/>
    <w:rsid w:val="004F6AB7"/>
    <w:rsid w:val="0050447B"/>
    <w:rsid w:val="00506A9D"/>
    <w:rsid w:val="00507F03"/>
    <w:rsid w:val="005344D9"/>
    <w:rsid w:val="005451D1"/>
    <w:rsid w:val="00553EA6"/>
    <w:rsid w:val="00557E39"/>
    <w:rsid w:val="00562107"/>
    <w:rsid w:val="005702AA"/>
    <w:rsid w:val="0057400A"/>
    <w:rsid w:val="00584313"/>
    <w:rsid w:val="00586114"/>
    <w:rsid w:val="0059444E"/>
    <w:rsid w:val="00594B57"/>
    <w:rsid w:val="005B140B"/>
    <w:rsid w:val="005C1CC6"/>
    <w:rsid w:val="005C25E5"/>
    <w:rsid w:val="005D6F8C"/>
    <w:rsid w:val="005E120E"/>
    <w:rsid w:val="005E19F4"/>
    <w:rsid w:val="005E3AC0"/>
    <w:rsid w:val="005E6F4E"/>
    <w:rsid w:val="005F5CA3"/>
    <w:rsid w:val="005F65C0"/>
    <w:rsid w:val="00601910"/>
    <w:rsid w:val="00604DBC"/>
    <w:rsid w:val="00607EE9"/>
    <w:rsid w:val="00623B22"/>
    <w:rsid w:val="0064127C"/>
    <w:rsid w:val="00645AF8"/>
    <w:rsid w:val="00652E74"/>
    <w:rsid w:val="006571C4"/>
    <w:rsid w:val="00670731"/>
    <w:rsid w:val="006731B9"/>
    <w:rsid w:val="00675072"/>
    <w:rsid w:val="006765A3"/>
    <w:rsid w:val="00682A8D"/>
    <w:rsid w:val="00684223"/>
    <w:rsid w:val="00684E8B"/>
    <w:rsid w:val="0069296C"/>
    <w:rsid w:val="006A358C"/>
    <w:rsid w:val="006B5B9E"/>
    <w:rsid w:val="006B5E01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92E63"/>
    <w:rsid w:val="007A7001"/>
    <w:rsid w:val="007B1BDB"/>
    <w:rsid w:val="007C37A8"/>
    <w:rsid w:val="007D70E4"/>
    <w:rsid w:val="007E180D"/>
    <w:rsid w:val="007F1956"/>
    <w:rsid w:val="00807F00"/>
    <w:rsid w:val="008141F9"/>
    <w:rsid w:val="0083155D"/>
    <w:rsid w:val="0083203C"/>
    <w:rsid w:val="00833D5E"/>
    <w:rsid w:val="0084482C"/>
    <w:rsid w:val="00846596"/>
    <w:rsid w:val="00857ABB"/>
    <w:rsid w:val="00872DB6"/>
    <w:rsid w:val="008807E5"/>
    <w:rsid w:val="00884463"/>
    <w:rsid w:val="00885C50"/>
    <w:rsid w:val="00890C57"/>
    <w:rsid w:val="00892E43"/>
    <w:rsid w:val="008B102C"/>
    <w:rsid w:val="008C301C"/>
    <w:rsid w:val="008C4EBC"/>
    <w:rsid w:val="008C5DEE"/>
    <w:rsid w:val="008C704F"/>
    <w:rsid w:val="008E5CF9"/>
    <w:rsid w:val="008F02C0"/>
    <w:rsid w:val="008F473F"/>
    <w:rsid w:val="009041E5"/>
    <w:rsid w:val="009118C3"/>
    <w:rsid w:val="009126F4"/>
    <w:rsid w:val="00936920"/>
    <w:rsid w:val="00942BEB"/>
    <w:rsid w:val="0094723F"/>
    <w:rsid w:val="00952C81"/>
    <w:rsid w:val="00960174"/>
    <w:rsid w:val="00964692"/>
    <w:rsid w:val="0098599E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33643"/>
    <w:rsid w:val="00A43600"/>
    <w:rsid w:val="00A43B6B"/>
    <w:rsid w:val="00A60667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AF7C14"/>
    <w:rsid w:val="00B1235B"/>
    <w:rsid w:val="00B13F9B"/>
    <w:rsid w:val="00B172F7"/>
    <w:rsid w:val="00B32EFD"/>
    <w:rsid w:val="00B45254"/>
    <w:rsid w:val="00B45503"/>
    <w:rsid w:val="00B473EB"/>
    <w:rsid w:val="00B60302"/>
    <w:rsid w:val="00B66858"/>
    <w:rsid w:val="00B82CFC"/>
    <w:rsid w:val="00B85B69"/>
    <w:rsid w:val="00B86DCB"/>
    <w:rsid w:val="00B917F4"/>
    <w:rsid w:val="00BA06DE"/>
    <w:rsid w:val="00BF1117"/>
    <w:rsid w:val="00BF7D00"/>
    <w:rsid w:val="00C0143C"/>
    <w:rsid w:val="00C13B59"/>
    <w:rsid w:val="00C345DF"/>
    <w:rsid w:val="00C35E2E"/>
    <w:rsid w:val="00C42CE7"/>
    <w:rsid w:val="00C5055A"/>
    <w:rsid w:val="00C532F8"/>
    <w:rsid w:val="00C702A8"/>
    <w:rsid w:val="00C75534"/>
    <w:rsid w:val="00C77A9B"/>
    <w:rsid w:val="00C82970"/>
    <w:rsid w:val="00C87386"/>
    <w:rsid w:val="00CA1578"/>
    <w:rsid w:val="00CA6D50"/>
    <w:rsid w:val="00CB5C63"/>
    <w:rsid w:val="00CB6748"/>
    <w:rsid w:val="00CC28E3"/>
    <w:rsid w:val="00CC4D15"/>
    <w:rsid w:val="00CC5319"/>
    <w:rsid w:val="00CD27D0"/>
    <w:rsid w:val="00CD3F05"/>
    <w:rsid w:val="00CD5706"/>
    <w:rsid w:val="00CE1728"/>
    <w:rsid w:val="00CE1803"/>
    <w:rsid w:val="00CE5A4D"/>
    <w:rsid w:val="00CE7AE3"/>
    <w:rsid w:val="00CF3668"/>
    <w:rsid w:val="00CF4D0A"/>
    <w:rsid w:val="00D226D2"/>
    <w:rsid w:val="00D31EE8"/>
    <w:rsid w:val="00D50353"/>
    <w:rsid w:val="00D54DB5"/>
    <w:rsid w:val="00D61433"/>
    <w:rsid w:val="00D71762"/>
    <w:rsid w:val="00D769A8"/>
    <w:rsid w:val="00D77E53"/>
    <w:rsid w:val="00D846FF"/>
    <w:rsid w:val="00D85793"/>
    <w:rsid w:val="00D87204"/>
    <w:rsid w:val="00D970A2"/>
    <w:rsid w:val="00DA3895"/>
    <w:rsid w:val="00DC3E6F"/>
    <w:rsid w:val="00DC4F76"/>
    <w:rsid w:val="00DC7F07"/>
    <w:rsid w:val="00DD0613"/>
    <w:rsid w:val="00DE2CBE"/>
    <w:rsid w:val="00DE518D"/>
    <w:rsid w:val="00DF20D5"/>
    <w:rsid w:val="00E03CFC"/>
    <w:rsid w:val="00E07263"/>
    <w:rsid w:val="00E127FC"/>
    <w:rsid w:val="00E26DB5"/>
    <w:rsid w:val="00E271EB"/>
    <w:rsid w:val="00E324ED"/>
    <w:rsid w:val="00E521B7"/>
    <w:rsid w:val="00E54B3B"/>
    <w:rsid w:val="00E56B6D"/>
    <w:rsid w:val="00E65110"/>
    <w:rsid w:val="00E95B3A"/>
    <w:rsid w:val="00EC1BE1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6074F"/>
    <w:rsid w:val="00F6608E"/>
    <w:rsid w:val="00F71888"/>
    <w:rsid w:val="00F950B4"/>
    <w:rsid w:val="00F95525"/>
    <w:rsid w:val="00F96C32"/>
    <w:rsid w:val="00FA2015"/>
    <w:rsid w:val="00FB0A8A"/>
    <w:rsid w:val="00FB6D3C"/>
    <w:rsid w:val="00FC4D3D"/>
    <w:rsid w:val="00FD0486"/>
    <w:rsid w:val="00FE5DCA"/>
    <w:rsid w:val="00FE692A"/>
    <w:rsid w:val="00FF0587"/>
    <w:rsid w:val="00FF0D16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link w:val="a7"/>
    <w:uiPriority w:val="99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8320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3203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CB5C63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83155D"/>
    <w:rPr>
      <w:sz w:val="24"/>
      <w:szCs w:val="24"/>
    </w:rPr>
  </w:style>
  <w:style w:type="paragraph" w:customStyle="1" w:styleId="ConsCell">
    <w:name w:val="ConsCell"/>
    <w:rsid w:val="008315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">
    <w:name w:val="Body Text 2"/>
    <w:basedOn w:val="a"/>
    <w:link w:val="20"/>
    <w:rsid w:val="00463127"/>
    <w:rPr>
      <w:szCs w:val="20"/>
    </w:rPr>
  </w:style>
  <w:style w:type="character" w:customStyle="1" w:styleId="20">
    <w:name w:val="Основной текст 2 Знак"/>
    <w:basedOn w:val="a0"/>
    <w:link w:val="2"/>
    <w:rsid w:val="00463127"/>
    <w:rPr>
      <w:sz w:val="24"/>
    </w:rPr>
  </w:style>
  <w:style w:type="paragraph" w:styleId="ac">
    <w:name w:val="Salutation"/>
    <w:basedOn w:val="a"/>
    <w:next w:val="a"/>
    <w:link w:val="ad"/>
    <w:rsid w:val="00F6608E"/>
    <w:pPr>
      <w:spacing w:before="120"/>
      <w:ind w:firstLine="720"/>
      <w:jc w:val="both"/>
    </w:pPr>
    <w:rPr>
      <w:sz w:val="28"/>
      <w:szCs w:val="20"/>
    </w:rPr>
  </w:style>
  <w:style w:type="character" w:customStyle="1" w:styleId="ad">
    <w:name w:val="Приветствие Знак"/>
    <w:basedOn w:val="a0"/>
    <w:link w:val="ac"/>
    <w:rsid w:val="00F6608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B37C2-93A5-4234-99FC-884E02E6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6</cp:revision>
  <cp:lastPrinted>2015-11-17T11:56:00Z</cp:lastPrinted>
  <dcterms:created xsi:type="dcterms:W3CDTF">2015-12-18T06:36:00Z</dcterms:created>
  <dcterms:modified xsi:type="dcterms:W3CDTF">2015-12-24T08:08:00Z</dcterms:modified>
</cp:coreProperties>
</file>